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4D876" w14:textId="04D9E279" w:rsidR="00CA0898" w:rsidRDefault="00CA0898" w:rsidP="004E3E6E">
      <w:pPr>
        <w:jc w:val="center"/>
        <w:rPr>
          <w:rFonts w:asciiTheme="majorBidi" w:hAnsiTheme="majorBidi" w:cstheme="majorBidi"/>
          <w:b/>
          <w:bCs/>
          <w:sz w:val="24"/>
          <w:szCs w:val="24"/>
          <w:lang w:bidi="ar-EG"/>
        </w:rPr>
      </w:pPr>
      <w:r w:rsidRPr="008557ED">
        <w:rPr>
          <w:noProof/>
          <w:lang w:val="ru-RU" w:eastAsia="ru-RU"/>
        </w:rPr>
        <w:drawing>
          <wp:anchor distT="0" distB="0" distL="114300" distR="114300" simplePos="0" relativeHeight="251658240" behindDoc="1" locked="0" layoutInCell="1" allowOverlap="1" wp14:anchorId="4A567506" wp14:editId="7BCA1579">
            <wp:simplePos x="0" y="0"/>
            <wp:positionH relativeFrom="column">
              <wp:posOffset>-127635</wp:posOffset>
            </wp:positionH>
            <wp:positionV relativeFrom="paragraph">
              <wp:posOffset>-691515</wp:posOffset>
            </wp:positionV>
            <wp:extent cx="6152515" cy="1580765"/>
            <wp:effectExtent l="0" t="0" r="635"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2515" cy="15807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37E69B" w14:textId="77777777" w:rsidR="00802CDC" w:rsidRDefault="00802CDC" w:rsidP="004E3E6E">
      <w:pPr>
        <w:jc w:val="center"/>
        <w:rPr>
          <w:rFonts w:asciiTheme="majorBidi" w:hAnsiTheme="majorBidi" w:cstheme="majorBidi"/>
          <w:b/>
          <w:bCs/>
          <w:sz w:val="24"/>
          <w:szCs w:val="24"/>
          <w:lang w:val="fr-FR" w:bidi="ar-EG"/>
        </w:rPr>
      </w:pPr>
    </w:p>
    <w:p w14:paraId="54A42255" w14:textId="77777777" w:rsidR="00802CDC" w:rsidRDefault="00802CDC" w:rsidP="004E3E6E">
      <w:pPr>
        <w:jc w:val="center"/>
        <w:rPr>
          <w:rFonts w:asciiTheme="majorBidi" w:hAnsiTheme="majorBidi" w:cstheme="majorBidi"/>
          <w:b/>
          <w:bCs/>
          <w:sz w:val="24"/>
          <w:szCs w:val="24"/>
          <w:lang w:val="fr-FR" w:bidi="ar-EG"/>
        </w:rPr>
      </w:pPr>
    </w:p>
    <w:p w14:paraId="4328CC8E" w14:textId="77777777" w:rsidR="00802CDC" w:rsidRDefault="00802CDC" w:rsidP="004E3E6E">
      <w:pPr>
        <w:jc w:val="center"/>
        <w:rPr>
          <w:rFonts w:asciiTheme="majorBidi" w:hAnsiTheme="majorBidi" w:cstheme="majorBidi"/>
          <w:b/>
          <w:bCs/>
          <w:sz w:val="24"/>
          <w:szCs w:val="24"/>
          <w:lang w:val="fr-FR" w:bidi="ar-EG"/>
        </w:rPr>
      </w:pPr>
    </w:p>
    <w:p w14:paraId="37142AF6" w14:textId="37C607DF" w:rsidR="00CA0898" w:rsidRPr="00802CDC" w:rsidRDefault="00802CDC" w:rsidP="004E3E6E">
      <w:pPr>
        <w:jc w:val="center"/>
        <w:rPr>
          <w:rFonts w:asciiTheme="majorBidi" w:hAnsiTheme="majorBidi" w:cstheme="majorBidi"/>
          <w:b/>
          <w:bCs/>
          <w:sz w:val="24"/>
          <w:szCs w:val="24"/>
          <w:lang w:val="fr-FR" w:bidi="ar-EG"/>
        </w:rPr>
      </w:pPr>
      <w:r w:rsidRPr="00802CDC">
        <w:rPr>
          <w:rFonts w:asciiTheme="majorBidi" w:hAnsiTheme="majorBidi" w:cstheme="majorBidi"/>
          <w:b/>
          <w:bCs/>
          <w:sz w:val="24"/>
          <w:szCs w:val="24"/>
          <w:lang w:val="fr-FR" w:bidi="ar-EG"/>
        </w:rPr>
        <w:t xml:space="preserve">Rapport intérimaire sur la </w:t>
      </w:r>
      <w:r>
        <w:rPr>
          <w:rFonts w:asciiTheme="majorBidi" w:hAnsiTheme="majorBidi" w:cstheme="majorBidi"/>
          <w:b/>
          <w:bCs/>
          <w:sz w:val="24"/>
          <w:szCs w:val="24"/>
          <w:lang w:val="fr-FR" w:bidi="ar-EG"/>
        </w:rPr>
        <w:t>B</w:t>
      </w:r>
      <w:r w:rsidRPr="00802CDC">
        <w:rPr>
          <w:rFonts w:asciiTheme="majorBidi" w:hAnsiTheme="majorBidi" w:cstheme="majorBidi"/>
          <w:b/>
          <w:bCs/>
          <w:sz w:val="24"/>
          <w:szCs w:val="24"/>
          <w:lang w:val="fr-FR" w:bidi="ar-EG"/>
        </w:rPr>
        <w:t>ase de données sur le bilan alimentaire</w:t>
      </w:r>
    </w:p>
    <w:p w14:paraId="51BC8FA3"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Conformément au Plan d'action adopté par la 1ère Assemblée Générale tenue à Astana (aujourd'hui Nour-Soultan), Kazakhstan, du 26 au 28 avril 2016, et à la Résolution N° IOFS / GA / 1- 13- En 2019, adoptée par la 2ème Assemblée Générale de l'OISA tenue à Jeddah, Arabie Saoudite, le Secrétariat a été prié de créer et de développer les performances de la plate-forme de base de données sur le bilan alimentaire (Base de données).</w:t>
      </w:r>
    </w:p>
    <w:p w14:paraId="49DF2E4A"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Un concours a été organisé par le Secrétariat de l'OISA pour créer la Base de données sur le bilan alimentaire et une société d'analyse informatique, Datanomix, spécialisée dans la technologie Qlik, a été sélectionnée. Le QlikTech développe des technologies d'analyse et de visualisation de données. Le QlikTech a été créé en 1993 en Suède et est actuellement enregistré en Pennsylvanie, aux États-Unis.</w:t>
      </w:r>
    </w:p>
    <w:p w14:paraId="11FFB111"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À ce jour, la Base de données a été créée avec succès et s'exécute sur la plate-forme Qlik Sense. Le modèle de Base de données de l'OISA est basé sur les principes de complexité et de polyvalence pour évaluer la sécurité alimentaire au niveau national dans une économie. Dans le même temps, il aide à réaliser une analyse comparative du niveau de sécurité alimentaire dans chaque pays, en tenant compte des exigences de l'OISA.</w:t>
      </w:r>
    </w:p>
    <w:p w14:paraId="19388709"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La Base de données vous permet d'analyser les flux commerciaux entre les États membres de l'OISA ainsi que les relations commerciales avec d'autres pays du monde. Les données sur le bilan alimentaire comprennent des informations sur les cartes de production, des données sur les ressources en eau ainsi que des informations sur tous les produits et produits agricoles. Il convient également de noter que la base de données est conforme aux principes de base du Halal, c'est-à-dire que le porc, le tabac, l'alcool, etc. sont exclus de la liste des produits.</w:t>
      </w:r>
    </w:p>
    <w:p w14:paraId="28A11E0A"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À ce jour, les informations pour la base de données ont été obtenues auprès de sources telles que Comtrade Database de l'ONU, Département américain de l'agriculture, Organisation des Nations Unies pour l'alimentation et l'agriculture, le Crowth Lab de l'Université de Harvard.</w:t>
      </w:r>
    </w:p>
    <w:p w14:paraId="480A4132"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La Base de données sera conçue directement pour créer un marché unique pour les produits alimentaires Halal dans les pays de l'OCI en remplaçant les fournisseurs d'autres pays et en allouant directement l'espace (pour les exportations et les importations) sur les marchés intérieurs pour les entreprises agricoles des pays de l'OCI. Dans ce cas, la Base de données sera l'un des principaux outils d'information, y compris les dernières solutions technologiques disponibles.</w:t>
      </w:r>
    </w:p>
    <w:p w14:paraId="4C73F3A7" w14:textId="77777777" w:rsidR="00802CDC"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L'OISA estime que la Base de données nouvellement créée contribuera au succès du travail de l'Association Islamique de transformation alimentaire (IFPA). Puisque l'IFPA se spécialisera dans l'augmentation des exportations / importations de produits alimentaires parmi les pays et les données de l'OCI, une Base de données sera nécessaire lors de l'organisation du travail du secteur privé pour identifier les pays les plus performants pour l'exportation de certains produits alimentaires. L'utilisation des informations de la Base de données permettrait une réglementation rationnelle des exportations et des importations de produits en collaboration avec le secteur privé.</w:t>
      </w:r>
    </w:p>
    <w:p w14:paraId="0ED83EA7" w14:textId="17573B5E" w:rsidR="00DF5D66" w:rsidRPr="00802CDC" w:rsidRDefault="00802CDC" w:rsidP="00802CDC">
      <w:pPr>
        <w:jc w:val="both"/>
        <w:rPr>
          <w:rFonts w:asciiTheme="majorBidi" w:hAnsiTheme="majorBidi" w:cstheme="majorBidi"/>
          <w:lang w:val="fr-FR" w:bidi="ar-EG"/>
        </w:rPr>
      </w:pPr>
      <w:r w:rsidRPr="00802CDC">
        <w:rPr>
          <w:rFonts w:asciiTheme="majorBidi" w:hAnsiTheme="majorBidi" w:cstheme="majorBidi"/>
          <w:lang w:val="fr-FR" w:bidi="ar-EG"/>
        </w:rPr>
        <w:t>L'OISA a envoyé des lettres aux Ministères de l'Agriculture de tous les États membres de l'OCI pour collecter des données précises sur les exportations et les importations afin de vérifier et de mettre à jour les informations, puisque les informations ont été précédemment obtenues auprès de sources accessibles au public. Dans le même temps, les travaux de mise à jour des données de l'OISA seront menés en continu</w:t>
      </w:r>
      <w:r w:rsidR="004E3E6E" w:rsidRPr="00802CDC">
        <w:rPr>
          <w:rFonts w:asciiTheme="majorBidi" w:hAnsiTheme="majorBidi" w:cstheme="majorBidi"/>
          <w:lang w:val="fr-FR" w:bidi="ar-EG"/>
        </w:rPr>
        <w:t>.</w:t>
      </w:r>
    </w:p>
    <w:sectPr w:rsidR="00DF5D66" w:rsidRPr="00802CD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02FAF"/>
    <w:multiLevelType w:val="hybridMultilevel"/>
    <w:tmpl w:val="0924EA2A"/>
    <w:lvl w:ilvl="0" w:tplc="EDD46C02">
      <w:start w:val="1"/>
      <w:numFmt w:val="bullet"/>
      <w:lvlText w:val=""/>
      <w:lvlJc w:val="left"/>
      <w:pPr>
        <w:tabs>
          <w:tab w:val="num" w:pos="720"/>
        </w:tabs>
        <w:ind w:left="720" w:hanging="360"/>
      </w:pPr>
      <w:rPr>
        <w:rFonts w:ascii="Wingdings" w:hAnsi="Wingdings" w:hint="default"/>
      </w:rPr>
    </w:lvl>
    <w:lvl w:ilvl="1" w:tplc="16C8617A" w:tentative="1">
      <w:start w:val="1"/>
      <w:numFmt w:val="bullet"/>
      <w:lvlText w:val=""/>
      <w:lvlJc w:val="left"/>
      <w:pPr>
        <w:tabs>
          <w:tab w:val="num" w:pos="1440"/>
        </w:tabs>
        <w:ind w:left="1440" w:hanging="360"/>
      </w:pPr>
      <w:rPr>
        <w:rFonts w:ascii="Wingdings" w:hAnsi="Wingdings" w:hint="default"/>
      </w:rPr>
    </w:lvl>
    <w:lvl w:ilvl="2" w:tplc="154E96BC" w:tentative="1">
      <w:start w:val="1"/>
      <w:numFmt w:val="bullet"/>
      <w:lvlText w:val=""/>
      <w:lvlJc w:val="left"/>
      <w:pPr>
        <w:tabs>
          <w:tab w:val="num" w:pos="2160"/>
        </w:tabs>
        <w:ind w:left="2160" w:hanging="360"/>
      </w:pPr>
      <w:rPr>
        <w:rFonts w:ascii="Wingdings" w:hAnsi="Wingdings" w:hint="default"/>
      </w:rPr>
    </w:lvl>
    <w:lvl w:ilvl="3" w:tplc="4F109B98" w:tentative="1">
      <w:start w:val="1"/>
      <w:numFmt w:val="bullet"/>
      <w:lvlText w:val=""/>
      <w:lvlJc w:val="left"/>
      <w:pPr>
        <w:tabs>
          <w:tab w:val="num" w:pos="2880"/>
        </w:tabs>
        <w:ind w:left="2880" w:hanging="360"/>
      </w:pPr>
      <w:rPr>
        <w:rFonts w:ascii="Wingdings" w:hAnsi="Wingdings" w:hint="default"/>
      </w:rPr>
    </w:lvl>
    <w:lvl w:ilvl="4" w:tplc="7F461F3A" w:tentative="1">
      <w:start w:val="1"/>
      <w:numFmt w:val="bullet"/>
      <w:lvlText w:val=""/>
      <w:lvlJc w:val="left"/>
      <w:pPr>
        <w:tabs>
          <w:tab w:val="num" w:pos="3600"/>
        </w:tabs>
        <w:ind w:left="3600" w:hanging="360"/>
      </w:pPr>
      <w:rPr>
        <w:rFonts w:ascii="Wingdings" w:hAnsi="Wingdings" w:hint="default"/>
      </w:rPr>
    </w:lvl>
    <w:lvl w:ilvl="5" w:tplc="401E23A0" w:tentative="1">
      <w:start w:val="1"/>
      <w:numFmt w:val="bullet"/>
      <w:lvlText w:val=""/>
      <w:lvlJc w:val="left"/>
      <w:pPr>
        <w:tabs>
          <w:tab w:val="num" w:pos="4320"/>
        </w:tabs>
        <w:ind w:left="4320" w:hanging="360"/>
      </w:pPr>
      <w:rPr>
        <w:rFonts w:ascii="Wingdings" w:hAnsi="Wingdings" w:hint="default"/>
      </w:rPr>
    </w:lvl>
    <w:lvl w:ilvl="6" w:tplc="F9E08F30" w:tentative="1">
      <w:start w:val="1"/>
      <w:numFmt w:val="bullet"/>
      <w:lvlText w:val=""/>
      <w:lvlJc w:val="left"/>
      <w:pPr>
        <w:tabs>
          <w:tab w:val="num" w:pos="5040"/>
        </w:tabs>
        <w:ind w:left="5040" w:hanging="360"/>
      </w:pPr>
      <w:rPr>
        <w:rFonts w:ascii="Wingdings" w:hAnsi="Wingdings" w:hint="default"/>
      </w:rPr>
    </w:lvl>
    <w:lvl w:ilvl="7" w:tplc="D18C79E2" w:tentative="1">
      <w:start w:val="1"/>
      <w:numFmt w:val="bullet"/>
      <w:lvlText w:val=""/>
      <w:lvlJc w:val="left"/>
      <w:pPr>
        <w:tabs>
          <w:tab w:val="num" w:pos="5760"/>
        </w:tabs>
        <w:ind w:left="5760" w:hanging="360"/>
      </w:pPr>
      <w:rPr>
        <w:rFonts w:ascii="Wingdings" w:hAnsi="Wingdings" w:hint="default"/>
      </w:rPr>
    </w:lvl>
    <w:lvl w:ilvl="8" w:tplc="52B8E16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471F51"/>
    <w:multiLevelType w:val="hybridMultilevel"/>
    <w:tmpl w:val="22E4D906"/>
    <w:lvl w:ilvl="0" w:tplc="4322E79E">
      <w:start w:val="1"/>
      <w:numFmt w:val="bullet"/>
      <w:lvlText w:val=""/>
      <w:lvlJc w:val="left"/>
      <w:pPr>
        <w:tabs>
          <w:tab w:val="num" w:pos="720"/>
        </w:tabs>
        <w:ind w:left="720" w:hanging="360"/>
      </w:pPr>
      <w:rPr>
        <w:rFonts w:ascii="Wingdings" w:hAnsi="Wingdings" w:hint="default"/>
      </w:rPr>
    </w:lvl>
    <w:lvl w:ilvl="1" w:tplc="4AEA57E2" w:tentative="1">
      <w:start w:val="1"/>
      <w:numFmt w:val="bullet"/>
      <w:lvlText w:val=""/>
      <w:lvlJc w:val="left"/>
      <w:pPr>
        <w:tabs>
          <w:tab w:val="num" w:pos="1440"/>
        </w:tabs>
        <w:ind w:left="1440" w:hanging="360"/>
      </w:pPr>
      <w:rPr>
        <w:rFonts w:ascii="Wingdings" w:hAnsi="Wingdings" w:hint="default"/>
      </w:rPr>
    </w:lvl>
    <w:lvl w:ilvl="2" w:tplc="F8DCB31A" w:tentative="1">
      <w:start w:val="1"/>
      <w:numFmt w:val="bullet"/>
      <w:lvlText w:val=""/>
      <w:lvlJc w:val="left"/>
      <w:pPr>
        <w:tabs>
          <w:tab w:val="num" w:pos="2160"/>
        </w:tabs>
        <w:ind w:left="2160" w:hanging="360"/>
      </w:pPr>
      <w:rPr>
        <w:rFonts w:ascii="Wingdings" w:hAnsi="Wingdings" w:hint="default"/>
      </w:rPr>
    </w:lvl>
    <w:lvl w:ilvl="3" w:tplc="76F2ADC6" w:tentative="1">
      <w:start w:val="1"/>
      <w:numFmt w:val="bullet"/>
      <w:lvlText w:val=""/>
      <w:lvlJc w:val="left"/>
      <w:pPr>
        <w:tabs>
          <w:tab w:val="num" w:pos="2880"/>
        </w:tabs>
        <w:ind w:left="2880" w:hanging="360"/>
      </w:pPr>
      <w:rPr>
        <w:rFonts w:ascii="Wingdings" w:hAnsi="Wingdings" w:hint="default"/>
      </w:rPr>
    </w:lvl>
    <w:lvl w:ilvl="4" w:tplc="083AF594" w:tentative="1">
      <w:start w:val="1"/>
      <w:numFmt w:val="bullet"/>
      <w:lvlText w:val=""/>
      <w:lvlJc w:val="left"/>
      <w:pPr>
        <w:tabs>
          <w:tab w:val="num" w:pos="3600"/>
        </w:tabs>
        <w:ind w:left="3600" w:hanging="360"/>
      </w:pPr>
      <w:rPr>
        <w:rFonts w:ascii="Wingdings" w:hAnsi="Wingdings" w:hint="default"/>
      </w:rPr>
    </w:lvl>
    <w:lvl w:ilvl="5" w:tplc="C0169D98" w:tentative="1">
      <w:start w:val="1"/>
      <w:numFmt w:val="bullet"/>
      <w:lvlText w:val=""/>
      <w:lvlJc w:val="left"/>
      <w:pPr>
        <w:tabs>
          <w:tab w:val="num" w:pos="4320"/>
        </w:tabs>
        <w:ind w:left="4320" w:hanging="360"/>
      </w:pPr>
      <w:rPr>
        <w:rFonts w:ascii="Wingdings" w:hAnsi="Wingdings" w:hint="default"/>
      </w:rPr>
    </w:lvl>
    <w:lvl w:ilvl="6" w:tplc="7FCA0028" w:tentative="1">
      <w:start w:val="1"/>
      <w:numFmt w:val="bullet"/>
      <w:lvlText w:val=""/>
      <w:lvlJc w:val="left"/>
      <w:pPr>
        <w:tabs>
          <w:tab w:val="num" w:pos="5040"/>
        </w:tabs>
        <w:ind w:left="5040" w:hanging="360"/>
      </w:pPr>
      <w:rPr>
        <w:rFonts w:ascii="Wingdings" w:hAnsi="Wingdings" w:hint="default"/>
      </w:rPr>
    </w:lvl>
    <w:lvl w:ilvl="7" w:tplc="5C2CA01C" w:tentative="1">
      <w:start w:val="1"/>
      <w:numFmt w:val="bullet"/>
      <w:lvlText w:val=""/>
      <w:lvlJc w:val="left"/>
      <w:pPr>
        <w:tabs>
          <w:tab w:val="num" w:pos="5760"/>
        </w:tabs>
        <w:ind w:left="5760" w:hanging="360"/>
      </w:pPr>
      <w:rPr>
        <w:rFonts w:ascii="Wingdings" w:hAnsi="Wingdings" w:hint="default"/>
      </w:rPr>
    </w:lvl>
    <w:lvl w:ilvl="8" w:tplc="BC78EE6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8A7EB2"/>
    <w:multiLevelType w:val="hybridMultilevel"/>
    <w:tmpl w:val="7096A062"/>
    <w:lvl w:ilvl="0" w:tplc="587E4950">
      <w:start w:val="1"/>
      <w:numFmt w:val="bullet"/>
      <w:lvlText w:val=""/>
      <w:lvlJc w:val="left"/>
      <w:pPr>
        <w:tabs>
          <w:tab w:val="num" w:pos="720"/>
        </w:tabs>
        <w:ind w:left="720" w:hanging="360"/>
      </w:pPr>
      <w:rPr>
        <w:rFonts w:ascii="Wingdings" w:hAnsi="Wingdings" w:hint="default"/>
      </w:rPr>
    </w:lvl>
    <w:lvl w:ilvl="1" w:tplc="D0F83FC4" w:tentative="1">
      <w:start w:val="1"/>
      <w:numFmt w:val="bullet"/>
      <w:lvlText w:val=""/>
      <w:lvlJc w:val="left"/>
      <w:pPr>
        <w:tabs>
          <w:tab w:val="num" w:pos="1440"/>
        </w:tabs>
        <w:ind w:left="1440" w:hanging="360"/>
      </w:pPr>
      <w:rPr>
        <w:rFonts w:ascii="Wingdings" w:hAnsi="Wingdings" w:hint="default"/>
      </w:rPr>
    </w:lvl>
    <w:lvl w:ilvl="2" w:tplc="BE52D48E" w:tentative="1">
      <w:start w:val="1"/>
      <w:numFmt w:val="bullet"/>
      <w:lvlText w:val=""/>
      <w:lvlJc w:val="left"/>
      <w:pPr>
        <w:tabs>
          <w:tab w:val="num" w:pos="2160"/>
        </w:tabs>
        <w:ind w:left="2160" w:hanging="360"/>
      </w:pPr>
      <w:rPr>
        <w:rFonts w:ascii="Wingdings" w:hAnsi="Wingdings" w:hint="default"/>
      </w:rPr>
    </w:lvl>
    <w:lvl w:ilvl="3" w:tplc="E91C6C5A" w:tentative="1">
      <w:start w:val="1"/>
      <w:numFmt w:val="bullet"/>
      <w:lvlText w:val=""/>
      <w:lvlJc w:val="left"/>
      <w:pPr>
        <w:tabs>
          <w:tab w:val="num" w:pos="2880"/>
        </w:tabs>
        <w:ind w:left="2880" w:hanging="360"/>
      </w:pPr>
      <w:rPr>
        <w:rFonts w:ascii="Wingdings" w:hAnsi="Wingdings" w:hint="default"/>
      </w:rPr>
    </w:lvl>
    <w:lvl w:ilvl="4" w:tplc="58202A1C" w:tentative="1">
      <w:start w:val="1"/>
      <w:numFmt w:val="bullet"/>
      <w:lvlText w:val=""/>
      <w:lvlJc w:val="left"/>
      <w:pPr>
        <w:tabs>
          <w:tab w:val="num" w:pos="3600"/>
        </w:tabs>
        <w:ind w:left="3600" w:hanging="360"/>
      </w:pPr>
      <w:rPr>
        <w:rFonts w:ascii="Wingdings" w:hAnsi="Wingdings" w:hint="default"/>
      </w:rPr>
    </w:lvl>
    <w:lvl w:ilvl="5" w:tplc="EFBCC242" w:tentative="1">
      <w:start w:val="1"/>
      <w:numFmt w:val="bullet"/>
      <w:lvlText w:val=""/>
      <w:lvlJc w:val="left"/>
      <w:pPr>
        <w:tabs>
          <w:tab w:val="num" w:pos="4320"/>
        </w:tabs>
        <w:ind w:left="4320" w:hanging="360"/>
      </w:pPr>
      <w:rPr>
        <w:rFonts w:ascii="Wingdings" w:hAnsi="Wingdings" w:hint="default"/>
      </w:rPr>
    </w:lvl>
    <w:lvl w:ilvl="6" w:tplc="105622B2" w:tentative="1">
      <w:start w:val="1"/>
      <w:numFmt w:val="bullet"/>
      <w:lvlText w:val=""/>
      <w:lvlJc w:val="left"/>
      <w:pPr>
        <w:tabs>
          <w:tab w:val="num" w:pos="5040"/>
        </w:tabs>
        <w:ind w:left="5040" w:hanging="360"/>
      </w:pPr>
      <w:rPr>
        <w:rFonts w:ascii="Wingdings" w:hAnsi="Wingdings" w:hint="default"/>
      </w:rPr>
    </w:lvl>
    <w:lvl w:ilvl="7" w:tplc="7F4AA66E" w:tentative="1">
      <w:start w:val="1"/>
      <w:numFmt w:val="bullet"/>
      <w:lvlText w:val=""/>
      <w:lvlJc w:val="left"/>
      <w:pPr>
        <w:tabs>
          <w:tab w:val="num" w:pos="5760"/>
        </w:tabs>
        <w:ind w:left="5760" w:hanging="360"/>
      </w:pPr>
      <w:rPr>
        <w:rFonts w:ascii="Wingdings" w:hAnsi="Wingdings" w:hint="default"/>
      </w:rPr>
    </w:lvl>
    <w:lvl w:ilvl="8" w:tplc="3C82B07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07B"/>
    <w:rsid w:val="000A7123"/>
    <w:rsid w:val="001C182B"/>
    <w:rsid w:val="0026107B"/>
    <w:rsid w:val="00356025"/>
    <w:rsid w:val="003C142E"/>
    <w:rsid w:val="00444A1C"/>
    <w:rsid w:val="004E3E6E"/>
    <w:rsid w:val="00543F05"/>
    <w:rsid w:val="00547299"/>
    <w:rsid w:val="00615283"/>
    <w:rsid w:val="00641178"/>
    <w:rsid w:val="00641AA1"/>
    <w:rsid w:val="006C16BB"/>
    <w:rsid w:val="006D66E2"/>
    <w:rsid w:val="00715D95"/>
    <w:rsid w:val="00802CDC"/>
    <w:rsid w:val="00942637"/>
    <w:rsid w:val="009E0308"/>
    <w:rsid w:val="00A16DC1"/>
    <w:rsid w:val="00A51106"/>
    <w:rsid w:val="00AF564D"/>
    <w:rsid w:val="00B11127"/>
    <w:rsid w:val="00BA3B18"/>
    <w:rsid w:val="00C44678"/>
    <w:rsid w:val="00CA0898"/>
    <w:rsid w:val="00D2172E"/>
    <w:rsid w:val="00D5481A"/>
    <w:rsid w:val="00DF5D66"/>
    <w:rsid w:val="00E861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299DE"/>
  <w15:chartTrackingRefBased/>
  <w15:docId w15:val="{77051367-B7B4-487F-97BF-924ED346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C1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rPr>
  </w:style>
  <w:style w:type="character" w:customStyle="1" w:styleId="HTML0">
    <w:name w:val="Стандартный HTML Знак"/>
    <w:basedOn w:val="a0"/>
    <w:link w:val="HTML"/>
    <w:uiPriority w:val="99"/>
    <w:semiHidden/>
    <w:rsid w:val="003C142E"/>
    <w:rPr>
      <w:rFonts w:ascii="Courier New" w:eastAsia="Times New Roman" w:hAnsi="Courier New" w:cs="Courier New"/>
      <w:sz w:val="20"/>
      <w:szCs w:val="20"/>
      <w:lang/>
    </w:rPr>
  </w:style>
  <w:style w:type="paragraph" w:styleId="a3">
    <w:name w:val="List Paragraph"/>
    <w:basedOn w:val="a"/>
    <w:uiPriority w:val="34"/>
    <w:qFormat/>
    <w:rsid w:val="003C142E"/>
    <w:pPr>
      <w:spacing w:after="0" w:line="240" w:lineRule="auto"/>
      <w:ind w:left="720"/>
      <w:contextualSpacing/>
    </w:pPr>
    <w:rPr>
      <w:rFonts w:ascii="Times New Roman" w:eastAsia="Times New Roman" w:hAnsi="Times New Roman" w:cs="Times New Roman"/>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364">
      <w:bodyDiv w:val="1"/>
      <w:marLeft w:val="0"/>
      <w:marRight w:val="0"/>
      <w:marTop w:val="0"/>
      <w:marBottom w:val="0"/>
      <w:divBdr>
        <w:top w:val="none" w:sz="0" w:space="0" w:color="auto"/>
        <w:left w:val="none" w:sz="0" w:space="0" w:color="auto"/>
        <w:bottom w:val="none" w:sz="0" w:space="0" w:color="auto"/>
        <w:right w:val="none" w:sz="0" w:space="0" w:color="auto"/>
      </w:divBdr>
    </w:div>
    <w:div w:id="973947411">
      <w:bodyDiv w:val="1"/>
      <w:marLeft w:val="0"/>
      <w:marRight w:val="0"/>
      <w:marTop w:val="0"/>
      <w:marBottom w:val="0"/>
      <w:divBdr>
        <w:top w:val="none" w:sz="0" w:space="0" w:color="auto"/>
        <w:left w:val="none" w:sz="0" w:space="0" w:color="auto"/>
        <w:bottom w:val="none" w:sz="0" w:space="0" w:color="auto"/>
        <w:right w:val="none" w:sz="0" w:space="0" w:color="auto"/>
      </w:divBdr>
    </w:div>
    <w:div w:id="1002702359">
      <w:bodyDiv w:val="1"/>
      <w:marLeft w:val="0"/>
      <w:marRight w:val="0"/>
      <w:marTop w:val="0"/>
      <w:marBottom w:val="0"/>
      <w:divBdr>
        <w:top w:val="none" w:sz="0" w:space="0" w:color="auto"/>
        <w:left w:val="none" w:sz="0" w:space="0" w:color="auto"/>
        <w:bottom w:val="none" w:sz="0" w:space="0" w:color="auto"/>
        <w:right w:val="none" w:sz="0" w:space="0" w:color="auto"/>
      </w:divBdr>
    </w:div>
    <w:div w:id="1415396760">
      <w:bodyDiv w:val="1"/>
      <w:marLeft w:val="0"/>
      <w:marRight w:val="0"/>
      <w:marTop w:val="0"/>
      <w:marBottom w:val="0"/>
      <w:divBdr>
        <w:top w:val="none" w:sz="0" w:space="0" w:color="auto"/>
        <w:left w:val="none" w:sz="0" w:space="0" w:color="auto"/>
        <w:bottom w:val="none" w:sz="0" w:space="0" w:color="auto"/>
        <w:right w:val="none" w:sz="0" w:space="0" w:color="auto"/>
      </w:divBdr>
      <w:divsChild>
        <w:div w:id="960763644">
          <w:marLeft w:val="274"/>
          <w:marRight w:val="0"/>
          <w:marTop w:val="0"/>
          <w:marBottom w:val="0"/>
          <w:divBdr>
            <w:top w:val="none" w:sz="0" w:space="0" w:color="auto"/>
            <w:left w:val="none" w:sz="0" w:space="0" w:color="auto"/>
            <w:bottom w:val="none" w:sz="0" w:space="0" w:color="auto"/>
            <w:right w:val="none" w:sz="0" w:space="0" w:color="auto"/>
          </w:divBdr>
        </w:div>
      </w:divsChild>
    </w:div>
    <w:div w:id="1523667270">
      <w:bodyDiv w:val="1"/>
      <w:marLeft w:val="0"/>
      <w:marRight w:val="0"/>
      <w:marTop w:val="0"/>
      <w:marBottom w:val="0"/>
      <w:divBdr>
        <w:top w:val="none" w:sz="0" w:space="0" w:color="auto"/>
        <w:left w:val="none" w:sz="0" w:space="0" w:color="auto"/>
        <w:bottom w:val="none" w:sz="0" w:space="0" w:color="auto"/>
        <w:right w:val="none" w:sz="0" w:space="0" w:color="auto"/>
      </w:divBdr>
    </w:div>
    <w:div w:id="1559782773">
      <w:bodyDiv w:val="1"/>
      <w:marLeft w:val="0"/>
      <w:marRight w:val="0"/>
      <w:marTop w:val="0"/>
      <w:marBottom w:val="0"/>
      <w:divBdr>
        <w:top w:val="none" w:sz="0" w:space="0" w:color="auto"/>
        <w:left w:val="none" w:sz="0" w:space="0" w:color="auto"/>
        <w:bottom w:val="none" w:sz="0" w:space="0" w:color="auto"/>
        <w:right w:val="none" w:sz="0" w:space="0" w:color="auto"/>
      </w:divBdr>
    </w:div>
    <w:div w:id="1617329027">
      <w:bodyDiv w:val="1"/>
      <w:marLeft w:val="0"/>
      <w:marRight w:val="0"/>
      <w:marTop w:val="0"/>
      <w:marBottom w:val="0"/>
      <w:divBdr>
        <w:top w:val="none" w:sz="0" w:space="0" w:color="auto"/>
        <w:left w:val="none" w:sz="0" w:space="0" w:color="auto"/>
        <w:bottom w:val="none" w:sz="0" w:space="0" w:color="auto"/>
        <w:right w:val="none" w:sz="0" w:space="0" w:color="auto"/>
      </w:divBdr>
    </w:div>
    <w:div w:id="1673488649">
      <w:bodyDiv w:val="1"/>
      <w:marLeft w:val="0"/>
      <w:marRight w:val="0"/>
      <w:marTop w:val="0"/>
      <w:marBottom w:val="0"/>
      <w:divBdr>
        <w:top w:val="none" w:sz="0" w:space="0" w:color="auto"/>
        <w:left w:val="none" w:sz="0" w:space="0" w:color="auto"/>
        <w:bottom w:val="none" w:sz="0" w:space="0" w:color="auto"/>
        <w:right w:val="none" w:sz="0" w:space="0" w:color="auto"/>
      </w:divBdr>
    </w:div>
    <w:div w:id="1764953535">
      <w:bodyDiv w:val="1"/>
      <w:marLeft w:val="0"/>
      <w:marRight w:val="0"/>
      <w:marTop w:val="0"/>
      <w:marBottom w:val="0"/>
      <w:divBdr>
        <w:top w:val="none" w:sz="0" w:space="0" w:color="auto"/>
        <w:left w:val="none" w:sz="0" w:space="0" w:color="auto"/>
        <w:bottom w:val="none" w:sz="0" w:space="0" w:color="auto"/>
        <w:right w:val="none" w:sz="0" w:space="0" w:color="auto"/>
      </w:divBdr>
      <w:divsChild>
        <w:div w:id="1349257643">
          <w:marLeft w:val="274"/>
          <w:marRight w:val="0"/>
          <w:marTop w:val="0"/>
          <w:marBottom w:val="0"/>
          <w:divBdr>
            <w:top w:val="none" w:sz="0" w:space="0" w:color="auto"/>
            <w:left w:val="none" w:sz="0" w:space="0" w:color="auto"/>
            <w:bottom w:val="none" w:sz="0" w:space="0" w:color="auto"/>
            <w:right w:val="none" w:sz="0" w:space="0" w:color="auto"/>
          </w:divBdr>
        </w:div>
      </w:divsChild>
    </w:div>
    <w:div w:id="1771001369">
      <w:bodyDiv w:val="1"/>
      <w:marLeft w:val="0"/>
      <w:marRight w:val="0"/>
      <w:marTop w:val="0"/>
      <w:marBottom w:val="0"/>
      <w:divBdr>
        <w:top w:val="none" w:sz="0" w:space="0" w:color="auto"/>
        <w:left w:val="none" w:sz="0" w:space="0" w:color="auto"/>
        <w:bottom w:val="none" w:sz="0" w:space="0" w:color="auto"/>
        <w:right w:val="none" w:sz="0" w:space="0" w:color="auto"/>
      </w:divBdr>
    </w:div>
    <w:div w:id="1918204102">
      <w:bodyDiv w:val="1"/>
      <w:marLeft w:val="0"/>
      <w:marRight w:val="0"/>
      <w:marTop w:val="0"/>
      <w:marBottom w:val="0"/>
      <w:divBdr>
        <w:top w:val="none" w:sz="0" w:space="0" w:color="auto"/>
        <w:left w:val="none" w:sz="0" w:space="0" w:color="auto"/>
        <w:bottom w:val="none" w:sz="0" w:space="0" w:color="auto"/>
        <w:right w:val="none" w:sz="0" w:space="0" w:color="auto"/>
      </w:divBdr>
      <w:divsChild>
        <w:div w:id="99556795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557</Words>
  <Characters>3176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WW</cp:lastModifiedBy>
  <cp:revision>2</cp:revision>
  <dcterms:created xsi:type="dcterms:W3CDTF">2020-10-17T10:15:00Z</dcterms:created>
  <dcterms:modified xsi:type="dcterms:W3CDTF">2020-10-17T10:15:00Z</dcterms:modified>
</cp:coreProperties>
</file>